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87F36" w14:textId="1AF4E5DF" w:rsidR="00541A5D" w:rsidRDefault="00B81660" w:rsidP="00541A5D">
      <w:pPr>
        <w:pStyle w:val="NormalWeb"/>
        <w:jc w:val="both"/>
        <w:rPr>
          <w:rStyle w:val="Emphasis"/>
          <w:rFonts w:asciiTheme="minorHAnsi" w:hAnsiTheme="minorHAnsi"/>
          <w:i w:val="0"/>
          <w:color w:val="000000" w:themeColor="text1"/>
        </w:rPr>
      </w:pPr>
      <w:r w:rsidRPr="00A87C8D">
        <w:rPr>
          <w:rStyle w:val="Emphasis"/>
          <w:rFonts w:asciiTheme="minorHAnsi" w:hAnsiTheme="minorHAnsi"/>
          <w:b/>
          <w:bCs/>
          <w:color w:val="000000" w:themeColor="text1"/>
        </w:rPr>
        <w:t>B</w:t>
      </w:r>
      <w:r w:rsidR="003F2B42" w:rsidRPr="00A87C8D">
        <w:rPr>
          <w:rStyle w:val="Emphasis"/>
          <w:rFonts w:asciiTheme="minorHAnsi" w:hAnsiTheme="minorHAnsi"/>
          <w:b/>
          <w:bCs/>
          <w:color w:val="000000" w:themeColor="text1"/>
        </w:rPr>
        <w:t>UCHAREST</w:t>
      </w:r>
      <w:r w:rsidRPr="00A87C8D">
        <w:rPr>
          <w:rStyle w:val="Emphasis"/>
          <w:rFonts w:asciiTheme="minorHAnsi" w:hAnsiTheme="minorHAnsi"/>
          <w:b/>
          <w:bCs/>
          <w:color w:val="000000" w:themeColor="text1"/>
        </w:rPr>
        <w:t xml:space="preserve"> – (March 2</w:t>
      </w:r>
      <w:r w:rsidR="00BE5C08" w:rsidRPr="00A87C8D">
        <w:rPr>
          <w:rStyle w:val="Emphasis"/>
          <w:rFonts w:asciiTheme="minorHAnsi" w:hAnsiTheme="minorHAnsi"/>
          <w:b/>
          <w:bCs/>
          <w:color w:val="000000" w:themeColor="text1"/>
        </w:rPr>
        <w:t>2</w:t>
      </w:r>
      <w:r w:rsidRPr="00A87C8D">
        <w:rPr>
          <w:rStyle w:val="Emphasis"/>
          <w:rFonts w:asciiTheme="minorHAnsi" w:hAnsiTheme="minorHAnsi"/>
          <w:b/>
          <w:bCs/>
          <w:color w:val="000000" w:themeColor="text1"/>
        </w:rPr>
        <w:t>)</w:t>
      </w:r>
      <w:r w:rsidRPr="005E2309">
        <w:rPr>
          <w:rStyle w:val="Emphasis"/>
          <w:rFonts w:asciiTheme="minorHAnsi" w:hAnsiTheme="minorHAnsi"/>
          <w:color w:val="000000" w:themeColor="text1"/>
        </w:rPr>
        <w:t xml:space="preserve"> </w:t>
      </w:r>
      <w:r w:rsidR="00A87C8D">
        <w:rPr>
          <w:rStyle w:val="Emphasis"/>
          <w:rFonts w:asciiTheme="minorHAnsi" w:hAnsiTheme="minorHAnsi"/>
          <w:i w:val="0"/>
          <w:iCs w:val="0"/>
          <w:color w:val="000000" w:themeColor="text1"/>
        </w:rPr>
        <w:t xml:space="preserve">The </w:t>
      </w:r>
      <w:r w:rsidR="00E00D22" w:rsidRPr="005E2309">
        <w:rPr>
          <w:rFonts w:asciiTheme="minorHAnsi" w:hAnsiTheme="minorHAnsi"/>
          <w:color w:val="000000" w:themeColor="text1"/>
        </w:rPr>
        <w:t>European Roundtable on Climate Change and Sustainable Transition</w:t>
      </w:r>
      <w:r w:rsidR="00E00D22" w:rsidRPr="005E2309">
        <w:rPr>
          <w:rStyle w:val="Emphasis"/>
          <w:rFonts w:asciiTheme="minorHAnsi" w:hAnsiTheme="minorHAnsi"/>
          <w:i w:val="0"/>
          <w:color w:val="000000" w:themeColor="text1"/>
        </w:rPr>
        <w:t xml:space="preserve"> </w:t>
      </w:r>
      <w:r w:rsidR="00E00D22" w:rsidRPr="005E2309">
        <w:rPr>
          <w:rFonts w:asciiTheme="minorHAnsi" w:hAnsiTheme="minorHAnsi"/>
          <w:color w:val="000000" w:themeColor="text1"/>
        </w:rPr>
        <w:t>(</w:t>
      </w:r>
      <w:r w:rsidRPr="005E2309">
        <w:rPr>
          <w:rStyle w:val="Emphasis"/>
          <w:rFonts w:asciiTheme="minorHAnsi" w:hAnsiTheme="minorHAnsi"/>
          <w:i w:val="0"/>
          <w:color w:val="000000" w:themeColor="text1"/>
        </w:rPr>
        <w:t>ERCST</w:t>
      </w:r>
      <w:r w:rsidR="00E00D22" w:rsidRPr="005E2309">
        <w:rPr>
          <w:rFonts w:asciiTheme="minorHAnsi" w:hAnsiTheme="minorHAnsi"/>
          <w:color w:val="000000" w:themeColor="text1"/>
        </w:rPr>
        <w:t>)</w:t>
      </w:r>
      <w:r w:rsidR="00A87C8D">
        <w:rPr>
          <w:rFonts w:asciiTheme="minorHAnsi" w:hAnsiTheme="minorHAnsi"/>
          <w:color w:val="000000" w:themeColor="text1"/>
        </w:rPr>
        <w:t xml:space="preserve"> and Central Europe Energy Partners (CEEP), in cooperation with the Romanian Energy Center (CER)</w:t>
      </w:r>
      <w:r w:rsidR="00624AB9">
        <w:rPr>
          <w:rFonts w:asciiTheme="minorHAnsi" w:hAnsiTheme="minorHAnsi"/>
          <w:color w:val="000000" w:themeColor="text1"/>
        </w:rPr>
        <w:t>,</w:t>
      </w:r>
      <w:r w:rsidRPr="005E2309">
        <w:rPr>
          <w:rStyle w:val="Emphasis"/>
          <w:rFonts w:asciiTheme="minorHAnsi" w:hAnsiTheme="minorHAnsi"/>
          <w:i w:val="0"/>
          <w:color w:val="000000" w:themeColor="text1"/>
        </w:rPr>
        <w:t xml:space="preserve"> </w:t>
      </w:r>
      <w:r w:rsidR="00A87C8D">
        <w:rPr>
          <w:rStyle w:val="Emphasis"/>
          <w:rFonts w:asciiTheme="minorHAnsi" w:hAnsiTheme="minorHAnsi"/>
          <w:i w:val="0"/>
          <w:color w:val="000000" w:themeColor="text1"/>
        </w:rPr>
        <w:t>are</w:t>
      </w:r>
      <w:r w:rsidR="00541A5D">
        <w:rPr>
          <w:rStyle w:val="Emphasis"/>
          <w:rFonts w:asciiTheme="minorHAnsi" w:hAnsiTheme="minorHAnsi"/>
          <w:i w:val="0"/>
          <w:color w:val="000000" w:themeColor="text1"/>
        </w:rPr>
        <w:t xml:space="preserve"> pleased to announce the release, on the occasion of the workshop organised in Bucharest, of the study “funding mechanisms in the fourth phase of the EU ETS: exploring what is known and identifying issues for clarification and discussion”, which examines the complex infrastructure of the fu</w:t>
      </w:r>
      <w:r w:rsidR="00612521">
        <w:rPr>
          <w:rStyle w:val="Emphasis"/>
          <w:rFonts w:asciiTheme="minorHAnsi" w:hAnsiTheme="minorHAnsi"/>
          <w:i w:val="0"/>
          <w:color w:val="000000" w:themeColor="text1"/>
        </w:rPr>
        <w:t>nding mechanisms in the EU ETS.</w:t>
      </w:r>
    </w:p>
    <w:p w14:paraId="3A09A8D8" w14:textId="77777777" w:rsidR="00541A5D" w:rsidRDefault="00541A5D" w:rsidP="00612521">
      <w:pPr>
        <w:pStyle w:val="NormalWeb"/>
        <w:spacing w:before="0" w:beforeAutospacing="0" w:after="0" w:afterAutospacing="0"/>
        <w:jc w:val="both"/>
        <w:rPr>
          <w:rStyle w:val="Emphasis"/>
          <w:rFonts w:asciiTheme="minorHAnsi" w:hAnsiTheme="minorHAnsi"/>
          <w:i w:val="0"/>
          <w:color w:val="000000" w:themeColor="text1"/>
        </w:rPr>
      </w:pPr>
      <w:r>
        <w:rPr>
          <w:rStyle w:val="Emphasis"/>
          <w:rFonts w:asciiTheme="minorHAnsi" w:hAnsiTheme="minorHAnsi"/>
          <w:i w:val="0"/>
          <w:color w:val="000000" w:themeColor="text1"/>
        </w:rPr>
        <w:t>The main takeaways from the paper, and the accompanying survey, include that:</w:t>
      </w:r>
    </w:p>
    <w:p w14:paraId="351E8779" w14:textId="64BC9C5E" w:rsidR="00541A5D" w:rsidRDefault="00541A5D" w:rsidP="00612521">
      <w:pPr>
        <w:pStyle w:val="NormalWeb"/>
        <w:numPr>
          <w:ilvl w:val="0"/>
          <w:numId w:val="5"/>
        </w:numPr>
        <w:spacing w:before="0" w:beforeAutospacing="0"/>
        <w:ind w:left="778"/>
        <w:jc w:val="both"/>
        <w:rPr>
          <w:rStyle w:val="Emphasis"/>
          <w:rFonts w:asciiTheme="minorHAnsi" w:hAnsiTheme="minorHAnsi"/>
          <w:i w:val="0"/>
          <w:color w:val="000000" w:themeColor="text1"/>
        </w:rPr>
      </w:pPr>
      <w:r>
        <w:rPr>
          <w:rStyle w:val="Emphasis"/>
          <w:rFonts w:asciiTheme="minorHAnsi" w:hAnsiTheme="minorHAnsi"/>
          <w:i w:val="0"/>
          <w:color w:val="000000" w:themeColor="text1"/>
        </w:rPr>
        <w:t xml:space="preserve">Vital questions remain </w:t>
      </w:r>
      <w:r w:rsidRPr="005E2309">
        <w:rPr>
          <w:rFonts w:asciiTheme="minorHAnsi" w:hAnsiTheme="minorHAnsi"/>
        </w:rPr>
        <w:t>to be answered during the</w:t>
      </w:r>
      <w:r>
        <w:rPr>
          <w:rFonts w:asciiTheme="minorHAnsi" w:hAnsiTheme="minorHAnsi"/>
        </w:rPr>
        <w:t xml:space="preserve"> remainder of the</w:t>
      </w:r>
      <w:r w:rsidRPr="005E2309">
        <w:rPr>
          <w:rFonts w:asciiTheme="minorHAnsi" w:hAnsiTheme="minorHAnsi"/>
        </w:rPr>
        <w:t xml:space="preserve"> implementation</w:t>
      </w:r>
      <w:r>
        <w:rPr>
          <w:rFonts w:asciiTheme="minorHAnsi" w:hAnsiTheme="minorHAnsi"/>
        </w:rPr>
        <w:t xml:space="preserve"> phase</w:t>
      </w:r>
      <w:r w:rsidRPr="005E2309">
        <w:rPr>
          <w:rFonts w:asciiTheme="minorHAnsi" w:hAnsiTheme="minorHAnsi"/>
        </w:rPr>
        <w:t>,</w:t>
      </w:r>
      <w:r>
        <w:rPr>
          <w:rFonts w:asciiTheme="minorHAnsi" w:hAnsiTheme="minorHAnsi"/>
        </w:rPr>
        <w:t xml:space="preserve"> especially for the modernisation fund, such as what the selection processes will look like, what additional eligibility criteria will be adopted and what governance framework will have to be put in place</w:t>
      </w:r>
      <w:r w:rsidR="00612521">
        <w:rPr>
          <w:rFonts w:asciiTheme="minorHAnsi" w:hAnsiTheme="minorHAnsi"/>
        </w:rPr>
        <w:t xml:space="preserve">. </w:t>
      </w:r>
    </w:p>
    <w:p w14:paraId="0A230440" w14:textId="1917DFE8" w:rsidR="00541A5D" w:rsidRPr="00612521" w:rsidRDefault="00541A5D" w:rsidP="00612521">
      <w:pPr>
        <w:pStyle w:val="NormalWeb"/>
        <w:numPr>
          <w:ilvl w:val="0"/>
          <w:numId w:val="5"/>
        </w:numPr>
        <w:jc w:val="both"/>
        <w:rPr>
          <w:rFonts w:asciiTheme="minorHAnsi" w:hAnsiTheme="minorHAnsi"/>
          <w:color w:val="000000" w:themeColor="text1"/>
        </w:rPr>
      </w:pPr>
      <w:r w:rsidRPr="00612521">
        <w:rPr>
          <w:rFonts w:asciiTheme="minorHAnsi" w:hAnsiTheme="minorHAnsi"/>
        </w:rPr>
        <w:t>The delegated act e</w:t>
      </w:r>
      <w:r w:rsidR="00612521">
        <w:rPr>
          <w:rFonts w:asciiTheme="minorHAnsi" w:hAnsiTheme="minorHAnsi"/>
        </w:rPr>
        <w:t xml:space="preserve">stablishing the Innovation Fund, which was </w:t>
      </w:r>
      <w:r w:rsidRPr="00612521">
        <w:rPr>
          <w:rFonts w:asciiTheme="minorHAnsi" w:hAnsiTheme="minorHAnsi"/>
        </w:rPr>
        <w:t>adopted on February 2</w:t>
      </w:r>
      <w:r w:rsidR="00612521" w:rsidRPr="00612521">
        <w:rPr>
          <w:rFonts w:asciiTheme="minorHAnsi" w:hAnsiTheme="minorHAnsi"/>
        </w:rPr>
        <w:t>6</w:t>
      </w:r>
      <w:r w:rsidR="00612521">
        <w:rPr>
          <w:rFonts w:asciiTheme="minorHAnsi" w:hAnsiTheme="minorHAnsi"/>
        </w:rPr>
        <w:t>, can be</w:t>
      </w:r>
      <w:r w:rsidR="00612521" w:rsidRPr="00612521">
        <w:rPr>
          <w:rFonts w:asciiTheme="minorHAnsi" w:hAnsiTheme="minorHAnsi"/>
        </w:rPr>
        <w:t xml:space="preserve"> welcomed </w:t>
      </w:r>
      <w:r w:rsidR="00612521">
        <w:rPr>
          <w:rFonts w:asciiTheme="minorHAnsi" w:hAnsiTheme="minorHAnsi"/>
        </w:rPr>
        <w:t>as the rules and modalities it lays out enjoy broad support by stakeholders as indicated through the survey.</w:t>
      </w:r>
    </w:p>
    <w:p w14:paraId="61C49192" w14:textId="7449FDD6" w:rsidR="00612521" w:rsidRDefault="00612521" w:rsidP="00612521">
      <w:pPr>
        <w:pStyle w:val="NormalWeb"/>
        <w:numPr>
          <w:ilvl w:val="0"/>
          <w:numId w:val="5"/>
        </w:numPr>
        <w:jc w:val="both"/>
        <w:rPr>
          <w:rFonts w:asciiTheme="minorHAnsi" w:hAnsiTheme="minorHAnsi"/>
          <w:color w:val="000000" w:themeColor="text1"/>
        </w:rPr>
      </w:pPr>
      <w:r>
        <w:rPr>
          <w:rFonts w:asciiTheme="minorHAnsi" w:hAnsiTheme="minorHAnsi"/>
          <w:color w:val="000000" w:themeColor="text1"/>
        </w:rPr>
        <w:t xml:space="preserve">A lot of eligible Member States indicate that they will pool most of their allowances in the Modernisation Fund, as allowed by the flexibility mechanisms. </w:t>
      </w:r>
    </w:p>
    <w:p w14:paraId="06767995" w14:textId="5846C6E4" w:rsidR="00541A5D" w:rsidRPr="00612521" w:rsidRDefault="00612521" w:rsidP="00612521">
      <w:pPr>
        <w:pStyle w:val="NormalWeb"/>
        <w:numPr>
          <w:ilvl w:val="0"/>
          <w:numId w:val="5"/>
        </w:numPr>
        <w:jc w:val="both"/>
        <w:rPr>
          <w:rStyle w:val="Emphasis"/>
          <w:rFonts w:asciiTheme="minorHAnsi" w:hAnsiTheme="minorHAnsi"/>
          <w:i w:val="0"/>
          <w:iCs w:val="0"/>
          <w:color w:val="000000" w:themeColor="text1"/>
        </w:rPr>
      </w:pPr>
      <w:r>
        <w:rPr>
          <w:rFonts w:asciiTheme="minorHAnsi" w:hAnsiTheme="minorHAnsi"/>
          <w:color w:val="000000" w:themeColor="text1"/>
        </w:rPr>
        <w:t xml:space="preserve">A majority of industrial stakeholders agree that the Modernisation Fund will be the best tool to modernise the energy system and support the idea of pooling the funds in this mechanism, as it will provide for a streamlined, simple governance; allow for 100% of the relevant costs to be financed; and will likely attract larger projects. </w:t>
      </w:r>
    </w:p>
    <w:p w14:paraId="6A4A6C8D" w14:textId="15616F0F" w:rsidR="008676BB" w:rsidRPr="00612521" w:rsidRDefault="00B81660" w:rsidP="00612521">
      <w:pPr>
        <w:pStyle w:val="NormalWeb"/>
        <w:jc w:val="both"/>
        <w:rPr>
          <w:rFonts w:asciiTheme="minorHAnsi" w:hAnsiTheme="minorHAnsi"/>
          <w:bCs/>
          <w:color w:val="000000" w:themeColor="text1"/>
        </w:rPr>
      </w:pPr>
      <w:r w:rsidRPr="005E2309">
        <w:rPr>
          <w:rFonts w:asciiTheme="minorHAnsi" w:hAnsiTheme="minorHAnsi"/>
          <w:bCs/>
          <w:color w:val="000000" w:themeColor="text1"/>
        </w:rPr>
        <w:t xml:space="preserve">This </w:t>
      </w:r>
      <w:r w:rsidR="00541A5D">
        <w:rPr>
          <w:rFonts w:asciiTheme="minorHAnsi" w:hAnsiTheme="minorHAnsi"/>
          <w:bCs/>
          <w:color w:val="000000" w:themeColor="text1"/>
        </w:rPr>
        <w:t>event</w:t>
      </w:r>
      <w:r w:rsidRPr="005E2309">
        <w:rPr>
          <w:rFonts w:asciiTheme="minorHAnsi" w:hAnsiTheme="minorHAnsi"/>
          <w:bCs/>
          <w:color w:val="000000" w:themeColor="text1"/>
        </w:rPr>
        <w:t xml:space="preserve"> is one of four</w:t>
      </w:r>
      <w:r w:rsidR="00E00D22" w:rsidRPr="005E2309">
        <w:rPr>
          <w:rFonts w:asciiTheme="minorHAnsi" w:hAnsiTheme="minorHAnsi"/>
          <w:bCs/>
          <w:color w:val="000000" w:themeColor="text1"/>
        </w:rPr>
        <w:t xml:space="preserve"> to be held </w:t>
      </w:r>
      <w:r w:rsidR="00624AB9">
        <w:rPr>
          <w:rFonts w:asciiTheme="minorHAnsi" w:hAnsiTheme="minorHAnsi"/>
          <w:bCs/>
          <w:color w:val="000000" w:themeColor="text1"/>
        </w:rPr>
        <w:t>throughout</w:t>
      </w:r>
      <w:r w:rsidR="00E00D22" w:rsidRPr="005E2309">
        <w:rPr>
          <w:rFonts w:asciiTheme="minorHAnsi" w:hAnsiTheme="minorHAnsi"/>
          <w:bCs/>
          <w:color w:val="000000" w:themeColor="text1"/>
        </w:rPr>
        <w:t xml:space="preserve"> Europe</w:t>
      </w:r>
      <w:r w:rsidR="00BE5C08" w:rsidRPr="005E2309">
        <w:rPr>
          <w:rFonts w:asciiTheme="minorHAnsi" w:hAnsiTheme="minorHAnsi"/>
          <w:bCs/>
          <w:color w:val="000000" w:themeColor="text1"/>
        </w:rPr>
        <w:t xml:space="preserve">, with </w:t>
      </w:r>
      <w:r w:rsidR="00E00D22" w:rsidRPr="005E2309">
        <w:rPr>
          <w:rFonts w:asciiTheme="minorHAnsi" w:hAnsiTheme="minorHAnsi"/>
          <w:bCs/>
          <w:color w:val="000000" w:themeColor="text1"/>
        </w:rPr>
        <w:t xml:space="preserve">the </w:t>
      </w:r>
      <w:r w:rsidR="00BE5C08" w:rsidRPr="005E2309">
        <w:rPr>
          <w:rFonts w:asciiTheme="minorHAnsi" w:hAnsiTheme="minorHAnsi"/>
          <w:bCs/>
          <w:color w:val="000000" w:themeColor="text1"/>
        </w:rPr>
        <w:t xml:space="preserve">other three </w:t>
      </w:r>
      <w:r w:rsidR="00624AB9">
        <w:rPr>
          <w:rFonts w:asciiTheme="minorHAnsi" w:hAnsiTheme="minorHAnsi"/>
          <w:bCs/>
          <w:color w:val="000000" w:themeColor="text1"/>
        </w:rPr>
        <w:t>taking place</w:t>
      </w:r>
      <w:r w:rsidR="00BE5C08" w:rsidRPr="005E2309">
        <w:rPr>
          <w:rFonts w:asciiTheme="minorHAnsi" w:hAnsiTheme="minorHAnsi"/>
          <w:bCs/>
          <w:color w:val="000000" w:themeColor="text1"/>
        </w:rPr>
        <w:t xml:space="preserve"> in Prague, Sofia and Warsaw</w:t>
      </w:r>
      <w:r w:rsidR="00612521">
        <w:rPr>
          <w:rFonts w:asciiTheme="minorHAnsi" w:hAnsiTheme="minorHAnsi"/>
          <w:bCs/>
          <w:color w:val="000000" w:themeColor="text1"/>
        </w:rPr>
        <w:t xml:space="preserve">. </w:t>
      </w:r>
      <w:r w:rsidR="008676BB" w:rsidRPr="008676BB">
        <w:rPr>
          <w:rFonts w:asciiTheme="minorHAnsi" w:hAnsiTheme="minorHAnsi" w:cs="Arial"/>
          <w:color w:val="000000" w:themeColor="text1"/>
          <w:shd w:val="clear" w:color="auto" w:fill="FFFFFF"/>
        </w:rPr>
        <w:t xml:space="preserve">The </w:t>
      </w:r>
      <w:r w:rsidR="00612521">
        <w:rPr>
          <w:rFonts w:asciiTheme="minorHAnsi" w:hAnsiTheme="minorHAnsi" w:cs="Arial"/>
          <w:color w:val="000000" w:themeColor="text1"/>
          <w:shd w:val="clear" w:color="auto" w:fill="FFFFFF"/>
        </w:rPr>
        <w:t>goal is to have a</w:t>
      </w:r>
      <w:r w:rsidR="008676BB" w:rsidRPr="008676BB">
        <w:rPr>
          <w:rFonts w:asciiTheme="minorHAnsi" w:hAnsiTheme="minorHAnsi" w:cs="Arial"/>
          <w:color w:val="000000" w:themeColor="text1"/>
          <w:shd w:val="clear" w:color="auto" w:fill="FFFFFF"/>
        </w:rPr>
        <w:t xml:space="preserve"> broad discussion with national stakeholders on the process and design of the funding mechanisms, being the Modernisati</w:t>
      </w:r>
      <w:r w:rsidR="008676BB">
        <w:rPr>
          <w:rFonts w:asciiTheme="minorHAnsi" w:hAnsiTheme="minorHAnsi" w:cs="Arial"/>
          <w:color w:val="000000" w:themeColor="text1"/>
          <w:shd w:val="clear" w:color="auto" w:fill="FFFFFF"/>
        </w:rPr>
        <w:t xml:space="preserve">on Fund, Article 10c Derogation, the Innovation Fund and the Solidarity Provision. </w:t>
      </w:r>
      <w:r w:rsidR="00832B40">
        <w:rPr>
          <w:rFonts w:asciiTheme="minorHAnsi" w:hAnsiTheme="minorHAnsi" w:cs="Arial"/>
          <w:color w:val="000000" w:themeColor="text1"/>
          <w:shd w:val="clear" w:color="auto" w:fill="FFFFFF"/>
        </w:rPr>
        <w:t xml:space="preserve">Over 40 experts and stakeholders are attending the workshop today. </w:t>
      </w:r>
    </w:p>
    <w:p w14:paraId="1BB9036A" w14:textId="77777777" w:rsidR="00612521" w:rsidRPr="005F03F7" w:rsidRDefault="00612521" w:rsidP="00612521">
      <w:pPr>
        <w:pStyle w:val="NormalWeb"/>
        <w:ind w:left="360" w:right="360"/>
        <w:jc w:val="both"/>
        <w:rPr>
          <w:rFonts w:asciiTheme="minorHAnsi" w:hAnsiTheme="minorHAnsi"/>
          <w:bCs/>
          <w:color w:val="000000" w:themeColor="text1"/>
        </w:rPr>
      </w:pPr>
      <w:r w:rsidRPr="002F4B39">
        <w:rPr>
          <w:rFonts w:asciiTheme="minorHAnsi" w:hAnsiTheme="minorHAnsi"/>
          <w:i/>
          <w:iCs/>
          <w:color w:val="000000" w:themeColor="text1"/>
          <w:shd w:val="clear" w:color="auto" w:fill="FFFFFF"/>
        </w:rPr>
        <w:t>“If designed and implemented correctly, t</w:t>
      </w:r>
      <w:r w:rsidRPr="002F4B39">
        <w:rPr>
          <w:rFonts w:asciiTheme="minorHAnsi" w:hAnsiTheme="minorHAnsi"/>
          <w:i/>
          <w:iCs/>
          <w:color w:val="000000" w:themeColor="text1"/>
        </w:rPr>
        <w:t>hese funds will prove to be of fundamental importance to help speed up the transformation of the energy matrix in Central and Eastern Europe and aid in their wider transition towards a competitive low-carbon economy</w:t>
      </w:r>
      <w:r w:rsidRPr="002F4B39">
        <w:rPr>
          <w:rFonts w:asciiTheme="minorHAnsi" w:hAnsiTheme="minorHAnsi"/>
          <w:i/>
          <w:iCs/>
          <w:color w:val="000000" w:themeColor="text1"/>
          <w:shd w:val="clear" w:color="auto" w:fill="FFFFFF"/>
        </w:rPr>
        <w:t>“,</w:t>
      </w:r>
      <w:r>
        <w:rPr>
          <w:rFonts w:asciiTheme="minorHAnsi" w:hAnsiTheme="minorHAnsi"/>
          <w:color w:val="000000" w:themeColor="text1"/>
        </w:rPr>
        <w:t xml:space="preserve"> said </w:t>
      </w:r>
      <w:r w:rsidRPr="005E2309">
        <w:rPr>
          <w:rFonts w:asciiTheme="minorHAnsi" w:hAnsiTheme="minorHAnsi"/>
          <w:color w:val="000000" w:themeColor="text1"/>
        </w:rPr>
        <w:t>Andrei Marcu, ERCST</w:t>
      </w:r>
      <w:r w:rsidRPr="005E2309">
        <w:rPr>
          <w:rFonts w:asciiTheme="minorHAnsi" w:hAnsiTheme="minorHAnsi" w:cs="Arial"/>
          <w:color w:val="000000" w:themeColor="text1"/>
          <w:shd w:val="clear" w:color="auto" w:fill="FFFFFF"/>
        </w:rPr>
        <w:t>'s</w:t>
      </w:r>
      <w:r>
        <w:rPr>
          <w:rFonts w:asciiTheme="minorHAnsi" w:hAnsiTheme="minorHAnsi"/>
          <w:color w:val="000000" w:themeColor="text1"/>
        </w:rPr>
        <w:t xml:space="preserve"> Executive Director</w:t>
      </w:r>
      <w:r w:rsidRPr="005E2309">
        <w:rPr>
          <w:rFonts w:asciiTheme="minorHAnsi" w:hAnsiTheme="minorHAnsi"/>
          <w:color w:val="000000" w:themeColor="text1"/>
        </w:rPr>
        <w:t xml:space="preserve">. </w:t>
      </w:r>
    </w:p>
    <w:p w14:paraId="52965E71" w14:textId="4A91D834" w:rsidR="00B81660" w:rsidRPr="00612521" w:rsidRDefault="008676BB" w:rsidP="00612521">
      <w:pPr>
        <w:pStyle w:val="NormalWeb"/>
        <w:jc w:val="both"/>
        <w:rPr>
          <w:rFonts w:asciiTheme="minorHAnsi" w:hAnsiTheme="minorHAnsi"/>
          <w:bCs/>
          <w:color w:val="000000" w:themeColor="text1"/>
          <w:lang w:val="en-US"/>
        </w:rPr>
      </w:pPr>
      <w:r>
        <w:rPr>
          <w:rFonts w:asciiTheme="minorHAnsi" w:hAnsiTheme="minorHAnsi"/>
          <w:bCs/>
          <w:color w:val="000000" w:themeColor="text1"/>
        </w:rPr>
        <w:t xml:space="preserve">Combined, the </w:t>
      </w:r>
      <w:r w:rsidR="007D5704" w:rsidRPr="005E2309">
        <w:rPr>
          <w:rFonts w:asciiTheme="minorHAnsi" w:hAnsiTheme="minorHAnsi"/>
          <w:bCs/>
          <w:color w:val="000000" w:themeColor="text1"/>
          <w:lang w:val="en-US"/>
        </w:rPr>
        <w:t xml:space="preserve">total </w:t>
      </w:r>
      <w:r w:rsidR="00185DB2" w:rsidRPr="005F03F7">
        <w:rPr>
          <w:rFonts w:asciiTheme="minorHAnsi" w:hAnsiTheme="minorHAnsi"/>
          <w:bCs/>
          <w:color w:val="000000" w:themeColor="text1"/>
          <w:lang w:val="en-US"/>
        </w:rPr>
        <w:t xml:space="preserve">amount of allowances </w:t>
      </w:r>
      <w:r>
        <w:rPr>
          <w:rFonts w:asciiTheme="minorHAnsi" w:hAnsiTheme="minorHAnsi"/>
          <w:bCs/>
          <w:color w:val="000000" w:themeColor="text1"/>
          <w:lang w:val="en-US"/>
        </w:rPr>
        <w:t xml:space="preserve">available through these mechanisms amounts to </w:t>
      </w:r>
      <w:r w:rsidR="00185DB2" w:rsidRPr="005F03F7">
        <w:rPr>
          <w:rFonts w:asciiTheme="minorHAnsi" w:hAnsiTheme="minorHAnsi"/>
          <w:bCs/>
          <w:iCs/>
          <w:color w:val="000000" w:themeColor="text1"/>
          <w:lang w:val="en-US"/>
        </w:rPr>
        <w:t>2</w:t>
      </w:r>
      <w:r>
        <w:rPr>
          <w:rFonts w:asciiTheme="minorHAnsi" w:hAnsiTheme="minorHAnsi"/>
          <w:bCs/>
          <w:iCs/>
          <w:color w:val="000000" w:themeColor="text1"/>
          <w:lang w:val="en-US"/>
        </w:rPr>
        <w:t>.</w:t>
      </w:r>
      <w:r w:rsidR="00185DB2" w:rsidRPr="005F03F7">
        <w:rPr>
          <w:rFonts w:asciiTheme="minorHAnsi" w:hAnsiTheme="minorHAnsi"/>
          <w:bCs/>
          <w:iCs/>
          <w:color w:val="000000" w:themeColor="text1"/>
          <w:lang w:val="en-US"/>
        </w:rPr>
        <w:t>37</w:t>
      </w:r>
      <w:r w:rsidR="00185DB2" w:rsidRPr="005E2309">
        <w:rPr>
          <w:rFonts w:asciiTheme="minorHAnsi" w:hAnsiTheme="minorHAnsi"/>
          <w:bCs/>
          <w:i/>
          <w:iCs/>
          <w:color w:val="000000" w:themeColor="text1"/>
          <w:lang w:val="en-US"/>
        </w:rPr>
        <w:t xml:space="preserve"> </w:t>
      </w:r>
      <w:r>
        <w:rPr>
          <w:rFonts w:asciiTheme="minorHAnsi" w:hAnsiTheme="minorHAnsi"/>
          <w:bCs/>
          <w:color w:val="000000" w:themeColor="text1"/>
          <w:lang w:val="en-US"/>
        </w:rPr>
        <w:t>billion</w:t>
      </w:r>
      <w:r w:rsidR="007D5704" w:rsidRPr="005E2309">
        <w:rPr>
          <w:rFonts w:asciiTheme="minorHAnsi" w:hAnsiTheme="minorHAnsi"/>
          <w:bCs/>
          <w:color w:val="000000" w:themeColor="text1"/>
          <w:lang w:val="en-US"/>
        </w:rPr>
        <w:t>,</w:t>
      </w:r>
      <w:r w:rsidR="002F4B39">
        <w:rPr>
          <w:rFonts w:asciiTheme="minorHAnsi" w:hAnsiTheme="minorHAnsi"/>
          <w:bCs/>
          <w:color w:val="000000" w:themeColor="text1"/>
          <w:lang w:val="en-US"/>
        </w:rPr>
        <w:t xml:space="preserve"> or about €55 billion at today’s market prices, available for investments in projects that </w:t>
      </w:r>
      <w:bookmarkStart w:id="0" w:name="_GoBack"/>
      <w:bookmarkEnd w:id="0"/>
      <w:r w:rsidR="002F4B39">
        <w:rPr>
          <w:rFonts w:asciiTheme="minorHAnsi" w:hAnsiTheme="minorHAnsi"/>
          <w:bCs/>
          <w:color w:val="000000" w:themeColor="text1"/>
          <w:lang w:val="en-US"/>
        </w:rPr>
        <w:t>modernize and diversify the energy sector, improve energy efficiency or employ new low-carbon technologies and processes.</w:t>
      </w:r>
    </w:p>
    <w:sectPr w:rsidR="00B81660" w:rsidRPr="00612521" w:rsidSect="00541A5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E3232" w14:textId="77777777" w:rsidR="00044A92" w:rsidRDefault="00044A92" w:rsidP="00A87C8D">
      <w:r>
        <w:separator/>
      </w:r>
    </w:p>
  </w:endnote>
  <w:endnote w:type="continuationSeparator" w:id="0">
    <w:p w14:paraId="31299EF9" w14:textId="77777777" w:rsidR="00044A92" w:rsidRDefault="00044A92" w:rsidP="00A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60390" w14:textId="77777777" w:rsidR="00044A92" w:rsidRDefault="00044A92" w:rsidP="00A87C8D">
      <w:r>
        <w:separator/>
      </w:r>
    </w:p>
  </w:footnote>
  <w:footnote w:type="continuationSeparator" w:id="0">
    <w:p w14:paraId="025C85EA" w14:textId="77777777" w:rsidR="00044A92" w:rsidRDefault="00044A92" w:rsidP="00A8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EA8C" w14:textId="1E8FDE63" w:rsidR="00A87C8D" w:rsidRDefault="00A87C8D" w:rsidP="00A87C8D">
    <w:pPr>
      <w:pStyle w:val="Header"/>
      <w:tabs>
        <w:tab w:val="clear" w:pos="4513"/>
        <w:tab w:val="clear" w:pos="9026"/>
        <w:tab w:val="left" w:pos="1228"/>
      </w:tabs>
    </w:pPr>
    <w:r w:rsidRPr="00A87C8D">
      <w:rPr>
        <w:noProof/>
        <w:lang w:val="en-US"/>
      </w:rPr>
      <w:drawing>
        <wp:anchor distT="0" distB="0" distL="114300" distR="114300" simplePos="0" relativeHeight="251659264" behindDoc="0" locked="0" layoutInCell="1" allowOverlap="1" wp14:anchorId="43BA739D" wp14:editId="62F2240D">
          <wp:simplePos x="0" y="0"/>
          <wp:positionH relativeFrom="column">
            <wp:posOffset>1251585</wp:posOffset>
          </wp:positionH>
          <wp:positionV relativeFrom="paragraph">
            <wp:posOffset>339090</wp:posOffset>
          </wp:positionV>
          <wp:extent cx="1504950" cy="3949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4950" cy="394970"/>
                  </a:xfrm>
                  <a:prstGeom prst="rect">
                    <a:avLst/>
                  </a:prstGeom>
                </pic:spPr>
              </pic:pic>
            </a:graphicData>
          </a:graphic>
          <wp14:sizeRelH relativeFrom="margin">
            <wp14:pctWidth>0</wp14:pctWidth>
          </wp14:sizeRelH>
          <wp14:sizeRelV relativeFrom="margin">
            <wp14:pctHeight>0</wp14:pctHeight>
          </wp14:sizeRelV>
        </wp:anchor>
      </w:drawing>
    </w:r>
    <w:r w:rsidRPr="00A87C8D">
      <w:rPr>
        <w:noProof/>
        <w:lang w:val="en-US"/>
      </w:rPr>
      <w:drawing>
        <wp:anchor distT="0" distB="0" distL="114300" distR="114300" simplePos="0" relativeHeight="251660288" behindDoc="0" locked="0" layoutInCell="1" allowOverlap="1" wp14:anchorId="7E5DF4A4" wp14:editId="757F2352">
          <wp:simplePos x="0" y="0"/>
          <wp:positionH relativeFrom="margin">
            <wp:posOffset>0</wp:posOffset>
          </wp:positionH>
          <wp:positionV relativeFrom="paragraph">
            <wp:posOffset>186690</wp:posOffset>
          </wp:positionV>
          <wp:extent cx="962025" cy="589280"/>
          <wp:effectExtent l="0" t="0" r="9525" b="1270"/>
          <wp:wrapSquare wrapText="bothSides"/>
          <wp:docPr id="1" name="Picture 1" descr="../../../../../../../ERCST%20new%20&amp;%20improved/Logos/ERCST/ERCST/ERCST%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ST%20new%20&amp;%20improved/Logos/ERCST/ERCST/ERCST%20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7C8D">
      <w:rPr>
        <w:noProof/>
        <w:lang w:val="en-US"/>
      </w:rPr>
      <w:drawing>
        <wp:anchor distT="0" distB="0" distL="114300" distR="114300" simplePos="0" relativeHeight="251661312" behindDoc="0" locked="0" layoutInCell="1" allowOverlap="1" wp14:anchorId="297B08C9" wp14:editId="700CD491">
          <wp:simplePos x="0" y="0"/>
          <wp:positionH relativeFrom="margin">
            <wp:posOffset>2967990</wp:posOffset>
          </wp:positionH>
          <wp:positionV relativeFrom="page">
            <wp:posOffset>674370</wp:posOffset>
          </wp:positionV>
          <wp:extent cx="1552575" cy="625475"/>
          <wp:effectExtent l="0" t="0" r="0" b="0"/>
          <wp:wrapThrough wrapText="bothSides">
            <wp:wrapPolygon edited="0">
              <wp:start x="3710" y="1316"/>
              <wp:lineTo x="2385" y="3947"/>
              <wp:lineTo x="1325" y="8552"/>
              <wp:lineTo x="1590" y="13815"/>
              <wp:lineTo x="3445" y="18420"/>
              <wp:lineTo x="3710" y="19736"/>
              <wp:lineTo x="5036" y="19736"/>
              <wp:lineTo x="20407" y="18420"/>
              <wp:lineTo x="21202" y="15131"/>
              <wp:lineTo x="15372" y="13157"/>
              <wp:lineTo x="15902" y="7894"/>
              <wp:lineTo x="14577" y="6579"/>
              <wp:lineTo x="6361" y="1316"/>
              <wp:lineTo x="3710" y="1316"/>
            </wp:wrapPolygon>
          </wp:wrapThrough>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625475"/>
                  </a:xfrm>
                  <a:prstGeom prst="rect">
                    <a:avLst/>
                  </a:prstGeom>
                </pic:spPr>
              </pic:pic>
            </a:graphicData>
          </a:graphic>
          <wp14:sizeRelH relativeFrom="margin">
            <wp14:pctWidth>0</wp14:pctWidth>
          </wp14:sizeRelH>
          <wp14:sizeRelV relativeFrom="margin">
            <wp14:pctHeight>0</wp14:pctHeight>
          </wp14:sizeRelV>
        </wp:anchor>
      </w:drawing>
    </w:r>
    <w:r w:rsidRPr="00A87C8D">
      <w:rPr>
        <w:noProof/>
        <w:lang w:val="en-US"/>
      </w:rPr>
      <w:drawing>
        <wp:anchor distT="0" distB="0" distL="114300" distR="114300" simplePos="0" relativeHeight="251662336" behindDoc="0" locked="0" layoutInCell="1" allowOverlap="1" wp14:anchorId="3743BECE" wp14:editId="3CFBAFB1">
          <wp:simplePos x="0" y="0"/>
          <wp:positionH relativeFrom="margin">
            <wp:posOffset>4611370</wp:posOffset>
          </wp:positionH>
          <wp:positionV relativeFrom="paragraph">
            <wp:posOffset>226060</wp:posOffset>
          </wp:positionV>
          <wp:extent cx="1504950" cy="5492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549275"/>
                  </a:xfrm>
                  <a:prstGeom prst="rect">
                    <a:avLst/>
                  </a:prstGeom>
                  <a:noFill/>
                  <a:ln>
                    <a:noFill/>
                  </a:ln>
                </pic:spPr>
              </pic:pic>
            </a:graphicData>
          </a:graphic>
        </wp:anchor>
      </w:drawing>
    </w:r>
    <w:r>
      <w:tab/>
    </w:r>
  </w:p>
  <w:p w14:paraId="10534194" w14:textId="77777777" w:rsidR="00A87C8D" w:rsidRDefault="00A87C8D" w:rsidP="00A87C8D">
    <w:pPr>
      <w:pStyle w:val="Header"/>
      <w:tabs>
        <w:tab w:val="clear" w:pos="4513"/>
        <w:tab w:val="clear" w:pos="9026"/>
        <w:tab w:val="left" w:pos="1228"/>
      </w:tabs>
    </w:pPr>
  </w:p>
  <w:p w14:paraId="6507746C" w14:textId="77777777" w:rsidR="00A87C8D" w:rsidRDefault="00A87C8D" w:rsidP="00A87C8D">
    <w:pPr>
      <w:pStyle w:val="Header"/>
      <w:tabs>
        <w:tab w:val="clear" w:pos="4513"/>
        <w:tab w:val="clear" w:pos="9026"/>
        <w:tab w:val="left" w:pos="12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953AC"/>
    <w:multiLevelType w:val="hybridMultilevel"/>
    <w:tmpl w:val="4A9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80DF1"/>
    <w:multiLevelType w:val="hybridMultilevel"/>
    <w:tmpl w:val="0CF8D974"/>
    <w:lvl w:ilvl="0" w:tplc="BC8A718E">
      <w:start w:val="1"/>
      <w:numFmt w:val="bullet"/>
      <w:lvlText w:val="•"/>
      <w:lvlJc w:val="left"/>
      <w:pPr>
        <w:tabs>
          <w:tab w:val="num" w:pos="720"/>
        </w:tabs>
        <w:ind w:left="720" w:hanging="360"/>
      </w:pPr>
      <w:rPr>
        <w:rFonts w:ascii="Arial" w:hAnsi="Arial" w:hint="default"/>
      </w:rPr>
    </w:lvl>
    <w:lvl w:ilvl="1" w:tplc="EDBC0864">
      <w:numFmt w:val="bullet"/>
      <w:lvlText w:val="•"/>
      <w:lvlJc w:val="left"/>
      <w:pPr>
        <w:tabs>
          <w:tab w:val="num" w:pos="1440"/>
        </w:tabs>
        <w:ind w:left="1440" w:hanging="360"/>
      </w:pPr>
      <w:rPr>
        <w:rFonts w:ascii="Arial" w:hAnsi="Arial" w:hint="default"/>
      </w:rPr>
    </w:lvl>
    <w:lvl w:ilvl="2" w:tplc="38EC4344" w:tentative="1">
      <w:start w:val="1"/>
      <w:numFmt w:val="bullet"/>
      <w:lvlText w:val="•"/>
      <w:lvlJc w:val="left"/>
      <w:pPr>
        <w:tabs>
          <w:tab w:val="num" w:pos="2160"/>
        </w:tabs>
        <w:ind w:left="2160" w:hanging="360"/>
      </w:pPr>
      <w:rPr>
        <w:rFonts w:ascii="Arial" w:hAnsi="Arial" w:hint="default"/>
      </w:rPr>
    </w:lvl>
    <w:lvl w:ilvl="3" w:tplc="FDF443E4" w:tentative="1">
      <w:start w:val="1"/>
      <w:numFmt w:val="bullet"/>
      <w:lvlText w:val="•"/>
      <w:lvlJc w:val="left"/>
      <w:pPr>
        <w:tabs>
          <w:tab w:val="num" w:pos="2880"/>
        </w:tabs>
        <w:ind w:left="2880" w:hanging="360"/>
      </w:pPr>
      <w:rPr>
        <w:rFonts w:ascii="Arial" w:hAnsi="Arial" w:hint="default"/>
      </w:rPr>
    </w:lvl>
    <w:lvl w:ilvl="4" w:tplc="E8745ACE" w:tentative="1">
      <w:start w:val="1"/>
      <w:numFmt w:val="bullet"/>
      <w:lvlText w:val="•"/>
      <w:lvlJc w:val="left"/>
      <w:pPr>
        <w:tabs>
          <w:tab w:val="num" w:pos="3600"/>
        </w:tabs>
        <w:ind w:left="3600" w:hanging="360"/>
      </w:pPr>
      <w:rPr>
        <w:rFonts w:ascii="Arial" w:hAnsi="Arial" w:hint="default"/>
      </w:rPr>
    </w:lvl>
    <w:lvl w:ilvl="5" w:tplc="FC8AEC5C" w:tentative="1">
      <w:start w:val="1"/>
      <w:numFmt w:val="bullet"/>
      <w:lvlText w:val="•"/>
      <w:lvlJc w:val="left"/>
      <w:pPr>
        <w:tabs>
          <w:tab w:val="num" w:pos="4320"/>
        </w:tabs>
        <w:ind w:left="4320" w:hanging="360"/>
      </w:pPr>
      <w:rPr>
        <w:rFonts w:ascii="Arial" w:hAnsi="Arial" w:hint="default"/>
      </w:rPr>
    </w:lvl>
    <w:lvl w:ilvl="6" w:tplc="1CB256CA" w:tentative="1">
      <w:start w:val="1"/>
      <w:numFmt w:val="bullet"/>
      <w:lvlText w:val="•"/>
      <w:lvlJc w:val="left"/>
      <w:pPr>
        <w:tabs>
          <w:tab w:val="num" w:pos="5040"/>
        </w:tabs>
        <w:ind w:left="5040" w:hanging="360"/>
      </w:pPr>
      <w:rPr>
        <w:rFonts w:ascii="Arial" w:hAnsi="Arial" w:hint="default"/>
      </w:rPr>
    </w:lvl>
    <w:lvl w:ilvl="7" w:tplc="0B0C1A90" w:tentative="1">
      <w:start w:val="1"/>
      <w:numFmt w:val="bullet"/>
      <w:lvlText w:val="•"/>
      <w:lvlJc w:val="left"/>
      <w:pPr>
        <w:tabs>
          <w:tab w:val="num" w:pos="5760"/>
        </w:tabs>
        <w:ind w:left="5760" w:hanging="360"/>
      </w:pPr>
      <w:rPr>
        <w:rFonts w:ascii="Arial" w:hAnsi="Arial" w:hint="default"/>
      </w:rPr>
    </w:lvl>
    <w:lvl w:ilvl="8" w:tplc="7868A8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FF343E"/>
    <w:multiLevelType w:val="hybridMultilevel"/>
    <w:tmpl w:val="B58C60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539A6F70"/>
    <w:multiLevelType w:val="hybridMultilevel"/>
    <w:tmpl w:val="B072AAA8"/>
    <w:lvl w:ilvl="0" w:tplc="8578CA86">
      <w:start w:val="1"/>
      <w:numFmt w:val="bullet"/>
      <w:lvlText w:val="•"/>
      <w:lvlJc w:val="left"/>
      <w:pPr>
        <w:tabs>
          <w:tab w:val="num" w:pos="720"/>
        </w:tabs>
        <w:ind w:left="720" w:hanging="360"/>
      </w:pPr>
      <w:rPr>
        <w:rFonts w:ascii="Arial" w:hAnsi="Arial" w:hint="default"/>
      </w:rPr>
    </w:lvl>
    <w:lvl w:ilvl="1" w:tplc="EFCE5F2A" w:tentative="1">
      <w:start w:val="1"/>
      <w:numFmt w:val="bullet"/>
      <w:lvlText w:val="•"/>
      <w:lvlJc w:val="left"/>
      <w:pPr>
        <w:tabs>
          <w:tab w:val="num" w:pos="1440"/>
        </w:tabs>
        <w:ind w:left="1440" w:hanging="360"/>
      </w:pPr>
      <w:rPr>
        <w:rFonts w:ascii="Arial" w:hAnsi="Arial" w:hint="default"/>
      </w:rPr>
    </w:lvl>
    <w:lvl w:ilvl="2" w:tplc="2A1A785C" w:tentative="1">
      <w:start w:val="1"/>
      <w:numFmt w:val="bullet"/>
      <w:lvlText w:val="•"/>
      <w:lvlJc w:val="left"/>
      <w:pPr>
        <w:tabs>
          <w:tab w:val="num" w:pos="2160"/>
        </w:tabs>
        <w:ind w:left="2160" w:hanging="360"/>
      </w:pPr>
      <w:rPr>
        <w:rFonts w:ascii="Arial" w:hAnsi="Arial" w:hint="default"/>
      </w:rPr>
    </w:lvl>
    <w:lvl w:ilvl="3" w:tplc="F5984B7A" w:tentative="1">
      <w:start w:val="1"/>
      <w:numFmt w:val="bullet"/>
      <w:lvlText w:val="•"/>
      <w:lvlJc w:val="left"/>
      <w:pPr>
        <w:tabs>
          <w:tab w:val="num" w:pos="2880"/>
        </w:tabs>
        <w:ind w:left="2880" w:hanging="360"/>
      </w:pPr>
      <w:rPr>
        <w:rFonts w:ascii="Arial" w:hAnsi="Arial" w:hint="default"/>
      </w:rPr>
    </w:lvl>
    <w:lvl w:ilvl="4" w:tplc="DD72217E" w:tentative="1">
      <w:start w:val="1"/>
      <w:numFmt w:val="bullet"/>
      <w:lvlText w:val="•"/>
      <w:lvlJc w:val="left"/>
      <w:pPr>
        <w:tabs>
          <w:tab w:val="num" w:pos="3600"/>
        </w:tabs>
        <w:ind w:left="3600" w:hanging="360"/>
      </w:pPr>
      <w:rPr>
        <w:rFonts w:ascii="Arial" w:hAnsi="Arial" w:hint="default"/>
      </w:rPr>
    </w:lvl>
    <w:lvl w:ilvl="5" w:tplc="41E2E254" w:tentative="1">
      <w:start w:val="1"/>
      <w:numFmt w:val="bullet"/>
      <w:lvlText w:val="•"/>
      <w:lvlJc w:val="left"/>
      <w:pPr>
        <w:tabs>
          <w:tab w:val="num" w:pos="4320"/>
        </w:tabs>
        <w:ind w:left="4320" w:hanging="360"/>
      </w:pPr>
      <w:rPr>
        <w:rFonts w:ascii="Arial" w:hAnsi="Arial" w:hint="default"/>
      </w:rPr>
    </w:lvl>
    <w:lvl w:ilvl="6" w:tplc="5D6C7B90" w:tentative="1">
      <w:start w:val="1"/>
      <w:numFmt w:val="bullet"/>
      <w:lvlText w:val="•"/>
      <w:lvlJc w:val="left"/>
      <w:pPr>
        <w:tabs>
          <w:tab w:val="num" w:pos="5040"/>
        </w:tabs>
        <w:ind w:left="5040" w:hanging="360"/>
      </w:pPr>
      <w:rPr>
        <w:rFonts w:ascii="Arial" w:hAnsi="Arial" w:hint="default"/>
      </w:rPr>
    </w:lvl>
    <w:lvl w:ilvl="7" w:tplc="BF9C5F0A" w:tentative="1">
      <w:start w:val="1"/>
      <w:numFmt w:val="bullet"/>
      <w:lvlText w:val="•"/>
      <w:lvlJc w:val="left"/>
      <w:pPr>
        <w:tabs>
          <w:tab w:val="num" w:pos="5760"/>
        </w:tabs>
        <w:ind w:left="5760" w:hanging="360"/>
      </w:pPr>
      <w:rPr>
        <w:rFonts w:ascii="Arial" w:hAnsi="Arial" w:hint="default"/>
      </w:rPr>
    </w:lvl>
    <w:lvl w:ilvl="8" w:tplc="69FA04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141885"/>
    <w:multiLevelType w:val="hybridMultilevel"/>
    <w:tmpl w:val="CC6240D4"/>
    <w:lvl w:ilvl="0" w:tplc="737E4C62">
      <w:start w:val="1"/>
      <w:numFmt w:val="bullet"/>
      <w:lvlText w:val="•"/>
      <w:lvlJc w:val="left"/>
      <w:pPr>
        <w:tabs>
          <w:tab w:val="num" w:pos="720"/>
        </w:tabs>
        <w:ind w:left="720" w:hanging="360"/>
      </w:pPr>
      <w:rPr>
        <w:rFonts w:ascii="Arial" w:hAnsi="Arial" w:hint="default"/>
      </w:rPr>
    </w:lvl>
    <w:lvl w:ilvl="1" w:tplc="B10CA768" w:tentative="1">
      <w:start w:val="1"/>
      <w:numFmt w:val="bullet"/>
      <w:lvlText w:val="•"/>
      <w:lvlJc w:val="left"/>
      <w:pPr>
        <w:tabs>
          <w:tab w:val="num" w:pos="1440"/>
        </w:tabs>
        <w:ind w:left="1440" w:hanging="360"/>
      </w:pPr>
      <w:rPr>
        <w:rFonts w:ascii="Arial" w:hAnsi="Arial" w:hint="default"/>
      </w:rPr>
    </w:lvl>
    <w:lvl w:ilvl="2" w:tplc="CB7CC7EE" w:tentative="1">
      <w:start w:val="1"/>
      <w:numFmt w:val="bullet"/>
      <w:lvlText w:val="•"/>
      <w:lvlJc w:val="left"/>
      <w:pPr>
        <w:tabs>
          <w:tab w:val="num" w:pos="2160"/>
        </w:tabs>
        <w:ind w:left="2160" w:hanging="360"/>
      </w:pPr>
      <w:rPr>
        <w:rFonts w:ascii="Arial" w:hAnsi="Arial" w:hint="default"/>
      </w:rPr>
    </w:lvl>
    <w:lvl w:ilvl="3" w:tplc="854C27F2" w:tentative="1">
      <w:start w:val="1"/>
      <w:numFmt w:val="bullet"/>
      <w:lvlText w:val="•"/>
      <w:lvlJc w:val="left"/>
      <w:pPr>
        <w:tabs>
          <w:tab w:val="num" w:pos="2880"/>
        </w:tabs>
        <w:ind w:left="2880" w:hanging="360"/>
      </w:pPr>
      <w:rPr>
        <w:rFonts w:ascii="Arial" w:hAnsi="Arial" w:hint="default"/>
      </w:rPr>
    </w:lvl>
    <w:lvl w:ilvl="4" w:tplc="EE20FD5A" w:tentative="1">
      <w:start w:val="1"/>
      <w:numFmt w:val="bullet"/>
      <w:lvlText w:val="•"/>
      <w:lvlJc w:val="left"/>
      <w:pPr>
        <w:tabs>
          <w:tab w:val="num" w:pos="3600"/>
        </w:tabs>
        <w:ind w:left="3600" w:hanging="360"/>
      </w:pPr>
      <w:rPr>
        <w:rFonts w:ascii="Arial" w:hAnsi="Arial" w:hint="default"/>
      </w:rPr>
    </w:lvl>
    <w:lvl w:ilvl="5" w:tplc="E7F2CCA6" w:tentative="1">
      <w:start w:val="1"/>
      <w:numFmt w:val="bullet"/>
      <w:lvlText w:val="•"/>
      <w:lvlJc w:val="left"/>
      <w:pPr>
        <w:tabs>
          <w:tab w:val="num" w:pos="4320"/>
        </w:tabs>
        <w:ind w:left="4320" w:hanging="360"/>
      </w:pPr>
      <w:rPr>
        <w:rFonts w:ascii="Arial" w:hAnsi="Arial" w:hint="default"/>
      </w:rPr>
    </w:lvl>
    <w:lvl w:ilvl="6" w:tplc="7F8A57CA" w:tentative="1">
      <w:start w:val="1"/>
      <w:numFmt w:val="bullet"/>
      <w:lvlText w:val="•"/>
      <w:lvlJc w:val="left"/>
      <w:pPr>
        <w:tabs>
          <w:tab w:val="num" w:pos="5040"/>
        </w:tabs>
        <w:ind w:left="5040" w:hanging="360"/>
      </w:pPr>
      <w:rPr>
        <w:rFonts w:ascii="Arial" w:hAnsi="Arial" w:hint="default"/>
      </w:rPr>
    </w:lvl>
    <w:lvl w:ilvl="7" w:tplc="66F409AC" w:tentative="1">
      <w:start w:val="1"/>
      <w:numFmt w:val="bullet"/>
      <w:lvlText w:val="•"/>
      <w:lvlJc w:val="left"/>
      <w:pPr>
        <w:tabs>
          <w:tab w:val="num" w:pos="5760"/>
        </w:tabs>
        <w:ind w:left="5760" w:hanging="360"/>
      </w:pPr>
      <w:rPr>
        <w:rFonts w:ascii="Arial" w:hAnsi="Arial" w:hint="default"/>
      </w:rPr>
    </w:lvl>
    <w:lvl w:ilvl="8" w:tplc="61D6B64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60"/>
    <w:rsid w:val="00044A92"/>
    <w:rsid w:val="000974A9"/>
    <w:rsid w:val="001103B4"/>
    <w:rsid w:val="00143875"/>
    <w:rsid w:val="00185DB2"/>
    <w:rsid w:val="00196554"/>
    <w:rsid w:val="00293A3D"/>
    <w:rsid w:val="002B0355"/>
    <w:rsid w:val="002F4B39"/>
    <w:rsid w:val="003161DD"/>
    <w:rsid w:val="003F2B42"/>
    <w:rsid w:val="00541A5D"/>
    <w:rsid w:val="00546676"/>
    <w:rsid w:val="005E2309"/>
    <w:rsid w:val="005F03F7"/>
    <w:rsid w:val="00612521"/>
    <w:rsid w:val="00624AB9"/>
    <w:rsid w:val="007D5704"/>
    <w:rsid w:val="00832B40"/>
    <w:rsid w:val="00854558"/>
    <w:rsid w:val="00856ED5"/>
    <w:rsid w:val="008676BB"/>
    <w:rsid w:val="00A06703"/>
    <w:rsid w:val="00A87C8D"/>
    <w:rsid w:val="00B81660"/>
    <w:rsid w:val="00BE5C08"/>
    <w:rsid w:val="00C450DE"/>
    <w:rsid w:val="00D80844"/>
    <w:rsid w:val="00D90439"/>
    <w:rsid w:val="00DF10CE"/>
    <w:rsid w:val="00E00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3F2E"/>
  <w15:chartTrackingRefBased/>
  <w15:docId w15:val="{CFBDAE61-4C92-5241-8691-39EC7E6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1660"/>
    <w:rPr>
      <w:i/>
      <w:iCs/>
    </w:rPr>
  </w:style>
  <w:style w:type="paragraph" w:styleId="NormalWeb">
    <w:name w:val="Normal (Web)"/>
    <w:basedOn w:val="Normal"/>
    <w:uiPriority w:val="99"/>
    <w:unhideWhenUsed/>
    <w:rsid w:val="00B8166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E5C08"/>
    <w:pPr>
      <w:ind w:left="720"/>
      <w:contextualSpacing/>
    </w:pPr>
    <w:rPr>
      <w:rFonts w:ascii="Times New Roman" w:eastAsia="Times New Roman" w:hAnsi="Times New Roman" w:cs="Times New Roman"/>
      <w:lang w:val="en-GB"/>
    </w:rPr>
  </w:style>
  <w:style w:type="paragraph" w:styleId="Header">
    <w:name w:val="header"/>
    <w:basedOn w:val="Normal"/>
    <w:link w:val="HeaderChar"/>
    <w:uiPriority w:val="99"/>
    <w:unhideWhenUsed/>
    <w:rsid w:val="00A87C8D"/>
    <w:pPr>
      <w:tabs>
        <w:tab w:val="center" w:pos="4513"/>
        <w:tab w:val="right" w:pos="9026"/>
      </w:tabs>
    </w:pPr>
  </w:style>
  <w:style w:type="character" w:customStyle="1" w:styleId="HeaderChar">
    <w:name w:val="Header Char"/>
    <w:basedOn w:val="DefaultParagraphFont"/>
    <w:link w:val="Header"/>
    <w:uiPriority w:val="99"/>
    <w:rsid w:val="00A87C8D"/>
  </w:style>
  <w:style w:type="paragraph" w:styleId="Footer">
    <w:name w:val="footer"/>
    <w:basedOn w:val="Normal"/>
    <w:link w:val="FooterChar"/>
    <w:uiPriority w:val="99"/>
    <w:unhideWhenUsed/>
    <w:rsid w:val="00A87C8D"/>
    <w:pPr>
      <w:tabs>
        <w:tab w:val="center" w:pos="4513"/>
        <w:tab w:val="right" w:pos="9026"/>
      </w:tabs>
    </w:pPr>
  </w:style>
  <w:style w:type="character" w:customStyle="1" w:styleId="FooterChar">
    <w:name w:val="Footer Char"/>
    <w:basedOn w:val="DefaultParagraphFont"/>
    <w:link w:val="Footer"/>
    <w:uiPriority w:val="99"/>
    <w:rsid w:val="00A8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241">
      <w:bodyDiv w:val="1"/>
      <w:marLeft w:val="0"/>
      <w:marRight w:val="0"/>
      <w:marTop w:val="0"/>
      <w:marBottom w:val="0"/>
      <w:divBdr>
        <w:top w:val="none" w:sz="0" w:space="0" w:color="auto"/>
        <w:left w:val="none" w:sz="0" w:space="0" w:color="auto"/>
        <w:bottom w:val="none" w:sz="0" w:space="0" w:color="auto"/>
        <w:right w:val="none" w:sz="0" w:space="0" w:color="auto"/>
      </w:divBdr>
      <w:divsChild>
        <w:div w:id="978263585">
          <w:marLeft w:val="331"/>
          <w:marRight w:val="0"/>
          <w:marTop w:val="200"/>
          <w:marBottom w:val="0"/>
          <w:divBdr>
            <w:top w:val="none" w:sz="0" w:space="0" w:color="auto"/>
            <w:left w:val="none" w:sz="0" w:space="0" w:color="auto"/>
            <w:bottom w:val="none" w:sz="0" w:space="0" w:color="auto"/>
            <w:right w:val="none" w:sz="0" w:space="0" w:color="auto"/>
          </w:divBdr>
        </w:div>
        <w:div w:id="794982572">
          <w:marLeft w:val="1411"/>
          <w:marRight w:val="0"/>
          <w:marTop w:val="100"/>
          <w:marBottom w:val="0"/>
          <w:divBdr>
            <w:top w:val="none" w:sz="0" w:space="0" w:color="auto"/>
            <w:left w:val="none" w:sz="0" w:space="0" w:color="auto"/>
            <w:bottom w:val="none" w:sz="0" w:space="0" w:color="auto"/>
            <w:right w:val="none" w:sz="0" w:space="0" w:color="auto"/>
          </w:divBdr>
        </w:div>
      </w:divsChild>
    </w:div>
    <w:div w:id="170802664">
      <w:bodyDiv w:val="1"/>
      <w:marLeft w:val="0"/>
      <w:marRight w:val="0"/>
      <w:marTop w:val="0"/>
      <w:marBottom w:val="0"/>
      <w:divBdr>
        <w:top w:val="none" w:sz="0" w:space="0" w:color="auto"/>
        <w:left w:val="none" w:sz="0" w:space="0" w:color="auto"/>
        <w:bottom w:val="none" w:sz="0" w:space="0" w:color="auto"/>
        <w:right w:val="none" w:sz="0" w:space="0" w:color="auto"/>
      </w:divBdr>
    </w:div>
    <w:div w:id="184564768">
      <w:bodyDiv w:val="1"/>
      <w:marLeft w:val="0"/>
      <w:marRight w:val="0"/>
      <w:marTop w:val="0"/>
      <w:marBottom w:val="0"/>
      <w:divBdr>
        <w:top w:val="none" w:sz="0" w:space="0" w:color="auto"/>
        <w:left w:val="none" w:sz="0" w:space="0" w:color="auto"/>
        <w:bottom w:val="none" w:sz="0" w:space="0" w:color="auto"/>
        <w:right w:val="none" w:sz="0" w:space="0" w:color="auto"/>
      </w:divBdr>
    </w:div>
    <w:div w:id="198475397">
      <w:bodyDiv w:val="1"/>
      <w:marLeft w:val="0"/>
      <w:marRight w:val="0"/>
      <w:marTop w:val="0"/>
      <w:marBottom w:val="0"/>
      <w:divBdr>
        <w:top w:val="none" w:sz="0" w:space="0" w:color="auto"/>
        <w:left w:val="none" w:sz="0" w:space="0" w:color="auto"/>
        <w:bottom w:val="none" w:sz="0" w:space="0" w:color="auto"/>
        <w:right w:val="none" w:sz="0" w:space="0" w:color="auto"/>
      </w:divBdr>
      <w:divsChild>
        <w:div w:id="460078825">
          <w:marLeft w:val="0"/>
          <w:marRight w:val="0"/>
          <w:marTop w:val="0"/>
          <w:marBottom w:val="0"/>
          <w:divBdr>
            <w:top w:val="none" w:sz="0" w:space="0" w:color="auto"/>
            <w:left w:val="none" w:sz="0" w:space="0" w:color="auto"/>
            <w:bottom w:val="none" w:sz="0" w:space="0" w:color="auto"/>
            <w:right w:val="none" w:sz="0" w:space="0" w:color="auto"/>
          </w:divBdr>
          <w:divsChild>
            <w:div w:id="1800371269">
              <w:marLeft w:val="0"/>
              <w:marRight w:val="0"/>
              <w:marTop w:val="0"/>
              <w:marBottom w:val="0"/>
              <w:divBdr>
                <w:top w:val="none" w:sz="0" w:space="0" w:color="auto"/>
                <w:left w:val="none" w:sz="0" w:space="0" w:color="auto"/>
                <w:bottom w:val="none" w:sz="0" w:space="0" w:color="auto"/>
                <w:right w:val="none" w:sz="0" w:space="0" w:color="auto"/>
              </w:divBdr>
              <w:divsChild>
                <w:div w:id="312763362">
                  <w:marLeft w:val="0"/>
                  <w:marRight w:val="0"/>
                  <w:marTop w:val="0"/>
                  <w:marBottom w:val="0"/>
                  <w:divBdr>
                    <w:top w:val="none" w:sz="0" w:space="0" w:color="auto"/>
                    <w:left w:val="none" w:sz="0" w:space="0" w:color="auto"/>
                    <w:bottom w:val="none" w:sz="0" w:space="0" w:color="auto"/>
                    <w:right w:val="none" w:sz="0" w:space="0" w:color="auto"/>
                  </w:divBdr>
                  <w:divsChild>
                    <w:div w:id="1975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36539">
      <w:bodyDiv w:val="1"/>
      <w:marLeft w:val="0"/>
      <w:marRight w:val="0"/>
      <w:marTop w:val="0"/>
      <w:marBottom w:val="0"/>
      <w:divBdr>
        <w:top w:val="none" w:sz="0" w:space="0" w:color="auto"/>
        <w:left w:val="none" w:sz="0" w:space="0" w:color="auto"/>
        <w:bottom w:val="none" w:sz="0" w:space="0" w:color="auto"/>
        <w:right w:val="none" w:sz="0" w:space="0" w:color="auto"/>
      </w:divBdr>
    </w:div>
    <w:div w:id="1237205517">
      <w:bodyDiv w:val="1"/>
      <w:marLeft w:val="0"/>
      <w:marRight w:val="0"/>
      <w:marTop w:val="0"/>
      <w:marBottom w:val="0"/>
      <w:divBdr>
        <w:top w:val="none" w:sz="0" w:space="0" w:color="auto"/>
        <w:left w:val="none" w:sz="0" w:space="0" w:color="auto"/>
        <w:bottom w:val="none" w:sz="0" w:space="0" w:color="auto"/>
        <w:right w:val="none" w:sz="0" w:space="0" w:color="auto"/>
      </w:divBdr>
      <w:divsChild>
        <w:div w:id="22247698">
          <w:marLeft w:val="0"/>
          <w:marRight w:val="0"/>
          <w:marTop w:val="0"/>
          <w:marBottom w:val="0"/>
          <w:divBdr>
            <w:top w:val="none" w:sz="0" w:space="0" w:color="auto"/>
            <w:left w:val="none" w:sz="0" w:space="0" w:color="auto"/>
            <w:bottom w:val="none" w:sz="0" w:space="0" w:color="auto"/>
            <w:right w:val="none" w:sz="0" w:space="0" w:color="auto"/>
          </w:divBdr>
          <w:divsChild>
            <w:div w:id="543753633">
              <w:marLeft w:val="0"/>
              <w:marRight w:val="0"/>
              <w:marTop w:val="0"/>
              <w:marBottom w:val="0"/>
              <w:divBdr>
                <w:top w:val="none" w:sz="0" w:space="0" w:color="auto"/>
                <w:left w:val="none" w:sz="0" w:space="0" w:color="auto"/>
                <w:bottom w:val="none" w:sz="0" w:space="0" w:color="auto"/>
                <w:right w:val="none" w:sz="0" w:space="0" w:color="auto"/>
              </w:divBdr>
              <w:divsChild>
                <w:div w:id="1825389843">
                  <w:marLeft w:val="0"/>
                  <w:marRight w:val="0"/>
                  <w:marTop w:val="0"/>
                  <w:marBottom w:val="0"/>
                  <w:divBdr>
                    <w:top w:val="none" w:sz="0" w:space="0" w:color="auto"/>
                    <w:left w:val="none" w:sz="0" w:space="0" w:color="auto"/>
                    <w:bottom w:val="none" w:sz="0" w:space="0" w:color="auto"/>
                    <w:right w:val="none" w:sz="0" w:space="0" w:color="auto"/>
                  </w:divBdr>
                  <w:divsChild>
                    <w:div w:id="7353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Mihai Macarie</cp:lastModifiedBy>
  <cp:revision>2</cp:revision>
  <dcterms:created xsi:type="dcterms:W3CDTF">2019-03-22T16:42:00Z</dcterms:created>
  <dcterms:modified xsi:type="dcterms:W3CDTF">2019-03-22T16:42:00Z</dcterms:modified>
</cp:coreProperties>
</file>